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2E" w:rsidRPr="00BB432E" w:rsidRDefault="00BB432E" w:rsidP="00BB432E">
      <w:pPr>
        <w:pStyle w:val="NormalnyWeb"/>
        <w:spacing w:after="0" w:afterAutospacing="0"/>
        <w:jc w:val="center"/>
        <w:rPr>
          <w:rStyle w:val="Pogrubienie"/>
          <w:rFonts w:ascii="Arial" w:hAnsi="Arial" w:cs="Arial"/>
          <w:color w:val="222222"/>
          <w:sz w:val="22"/>
          <w:szCs w:val="18"/>
        </w:rPr>
      </w:pPr>
      <w:bookmarkStart w:id="0" w:name="_GoBack"/>
      <w:bookmarkEnd w:id="0"/>
      <w:r w:rsidRPr="00BB432E">
        <w:rPr>
          <w:rStyle w:val="Pogrubienie"/>
          <w:rFonts w:ascii="Arial" w:hAnsi="Arial" w:cs="Arial"/>
          <w:color w:val="222222"/>
          <w:sz w:val="22"/>
          <w:szCs w:val="18"/>
        </w:rPr>
        <w:t>Technologie w produkcji zwierzęcej</w:t>
      </w:r>
    </w:p>
    <w:p w:rsidR="00BB432E" w:rsidRDefault="00BB432E" w:rsidP="00BB432E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TREŚCI WYKŁADÓW </w:t>
      </w:r>
      <w:r>
        <w:rPr>
          <w:rFonts w:ascii="Arial" w:hAnsi="Arial" w:cs="Arial"/>
          <w:color w:val="222222"/>
          <w:sz w:val="18"/>
          <w:szCs w:val="18"/>
        </w:rPr>
        <w:t xml:space="preserve">Technologia chowu indyków. Technologia chowu kur i kurcząt brojlerów. Technologia chowu drobiu wodnego i strusi. Światowa produkcja trzody chlewnej, pozycja Polski w świecie. Struktura chowu świń w Polsce. Cechy użytkowe świń. Technologie utrzymanie świń w gospodarstwach drobnotowarowych i fermach przemysłowych. Przegląd technologii utrzymania różnych grup technologicznych świń. Technologie w hodowli bydła mlecznego i mięsnego. Systemy odchowu cieląt.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Technopatie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w chowie bydła. Zasady dobrej praktyki higienicznej, zabezpieczenie epizootyczne w fermach zwierząt gospodarskich.</w:t>
      </w:r>
    </w:p>
    <w:p w:rsidR="00BB432E" w:rsidRDefault="00BB432E" w:rsidP="00BB432E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TREŚCI ĆWICZEŃ </w:t>
      </w:r>
      <w:r>
        <w:rPr>
          <w:rFonts w:ascii="Arial" w:hAnsi="Arial" w:cs="Arial"/>
          <w:color w:val="222222"/>
          <w:sz w:val="18"/>
          <w:szCs w:val="18"/>
        </w:rPr>
        <w:t>Wyposażenie obiektów drobiarskich indyków, kur, kurcząt brojlerów, drobiu wodnego i strusi. Zajęcia terenowe na fermie chowu indyków i strusi. Technologie utrzymania świń – stado podstawowe, sektor rozrodu, porodówki, systemy odchowu prosiąt, warchlaków i tuczników. Technologie utrzymania świń w zależności od usuwania odchodów i zadawania paszy. Zajęcia terenowe na wielkotowarowej fermie świń. Zasady hodowli bydła, typy i rodzaje obór, budynki gospodarcze w fermie bydła. Identyfikacja bydła. Systemy doju, roboty do dojenia. Wpływ systemów utrzymania na zdrowie krów.</w:t>
      </w:r>
    </w:p>
    <w:p w:rsidR="00BB432E" w:rsidRDefault="00BB432E" w:rsidP="00BB432E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ZAŁOŻENIA I CELE PRZEDMIOTU JAKO EFEKTY KSZTAŁCENIA:</w:t>
      </w:r>
    </w:p>
    <w:p w:rsidR="00BB432E" w:rsidRDefault="00BB432E" w:rsidP="00BB432E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Wiedza </w:t>
      </w:r>
      <w:r>
        <w:rPr>
          <w:rFonts w:ascii="Arial" w:hAnsi="Arial" w:cs="Arial"/>
          <w:color w:val="222222"/>
          <w:sz w:val="18"/>
          <w:szCs w:val="18"/>
        </w:rPr>
        <w:t>Absolwent uzyska wiedzę z zakresu różnych technologii w produkcji następujących gatunków zwierząt: ptaki, bydło, świnie. Będzie rozumiał zasady funkcjonowania przemysłowych technologii w chowie zwierząt gospodarskich. Będzie znał różnice w technologii chowu drobnotowarowego – przyzagrodowego i wielko stadnego. Absolwent będzie posiadał wiedze w zakresie stosowania zasad dobrostanu, jakie muszą być spełnione w stosunku do różnych gatunków i grup technologicznych zwierząt w technologiach przemysłowych chowu. Zasady funkcjonowania specjalistycznych ferm różnych gatunków zwierząt gospodarskich.</w:t>
      </w:r>
    </w:p>
    <w:p w:rsidR="00BB432E" w:rsidRDefault="00BB432E" w:rsidP="00BB432E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Kompetencje/Postawy </w:t>
      </w:r>
      <w:r>
        <w:rPr>
          <w:rFonts w:ascii="Arial" w:hAnsi="Arial" w:cs="Arial"/>
          <w:color w:val="222222"/>
          <w:sz w:val="18"/>
          <w:szCs w:val="18"/>
        </w:rPr>
        <w:t xml:space="preserve">Przedmiot ma dać studentom umiejętności i kompetencje w: - rozumieniu organizacji wielkostadnej produkcji zwierzęcej; - rozumieniu technologicznych zagrożeń w powstawaniu i zapobieganiu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technopatiom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 - stosowania przepisów prawnych dotyczących produkcji zwierzęcej w tym dobrostanu; - umiejętność doradzenia hodowcy w przygotowaniu obiektu do spełnienia warunków weterynaryjnych, do zatwierdzenia zakładu przez właściwy organ tj. Powiatowego Lekarza Weterynarii.</w:t>
      </w:r>
    </w:p>
    <w:p w:rsidR="00BB432E" w:rsidRDefault="00BB432E" w:rsidP="00BB432E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LITERATURA PODSTAWOWA</w:t>
      </w:r>
    </w:p>
    <w:p w:rsidR="00BB432E" w:rsidRDefault="00BB432E" w:rsidP="00BB432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Choroby drobiu praca zbiorowa pod redakcją Michała Mazurkiewicza, Wrocław 2005.</w:t>
      </w:r>
    </w:p>
    <w:p w:rsidR="00BB432E" w:rsidRPr="00BB432E" w:rsidRDefault="00BB432E" w:rsidP="00BB432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 xml:space="preserve">Diseases of Poultry, red. Y.M. </w:t>
      </w:r>
      <w:proofErr w:type="spellStart"/>
      <w:r>
        <w:rPr>
          <w:rFonts w:ascii="Arial" w:hAnsi="Arial" w:cs="Arial"/>
          <w:color w:val="222222"/>
          <w:sz w:val="18"/>
          <w:szCs w:val="18"/>
          <w:lang w:val="en-US"/>
        </w:rPr>
        <w:t>Saif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>, Iowa State Press, 2003</w:t>
      </w:r>
    </w:p>
    <w:p w:rsidR="00BB432E" w:rsidRDefault="00BB432E" w:rsidP="00BB432E">
      <w:pPr>
        <w:pStyle w:val="sdfootnote-western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Hodowla i użytkowanie zwierząt gospodarskich. Pod redakcją Henryka Grodzkiego. Wydawnictwo SGGW 2005,</w:t>
      </w:r>
    </w:p>
    <w:p w:rsidR="00BB432E" w:rsidRDefault="00BB432E" w:rsidP="00BB432E">
      <w:pPr>
        <w:pStyle w:val="sdfootnote-western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Ochrona zdrowia świń. Zygmunt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Pejsak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Polskie Wydawnictwo Rolnicze 2007</w:t>
      </w:r>
    </w:p>
    <w:p w:rsidR="00BB432E" w:rsidRDefault="00BB432E" w:rsidP="00BB432E">
      <w:pPr>
        <w:pStyle w:val="sdfootnote-western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Hodowla i użytkowanie świń. Pod Redakcją Barbary Grudniewskiej. Wydawnictwo ART. 1994</w:t>
      </w:r>
    </w:p>
    <w:p w:rsidR="00BB432E" w:rsidRDefault="00BB432E" w:rsidP="00BB432E">
      <w:pPr>
        <w:pStyle w:val="sdfootnote-western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Chów i Hodowla zwierząt. Pod redakcją Tadeusza Szulca. Wydawnictwo AR Wrocław 2005 Hodowla i użytkowanie bydła. Pod redakcją Zygmunta Litwińczuka. Wydawnictwo AR Lublin 1999.</w:t>
      </w:r>
    </w:p>
    <w:p w:rsidR="00BB432E" w:rsidRDefault="00BB432E" w:rsidP="00BB432E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LITERATURA UZUPEŁNIAJĄCA</w:t>
      </w:r>
    </w:p>
    <w:p w:rsidR="00BB432E" w:rsidRDefault="00BB432E" w:rsidP="00BB432E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Miesięczniki: Polskie Drobiarstwo, Magazyn Weterynaryjny, Miesięcznik Trzoda chlewna, Hodowca trzody chlewnej, Miesięcznik Hodowca była.</w:t>
      </w:r>
    </w:p>
    <w:p w:rsidR="00BB432E" w:rsidRDefault="00BB432E" w:rsidP="00BB432E">
      <w:pPr>
        <w:pStyle w:val="NormalnyWeb"/>
        <w:spacing w:after="0" w:afterAutospacing="0"/>
        <w:jc w:val="both"/>
        <w:rPr>
          <w:rStyle w:val="Pogrubienie"/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Status przedmiotu: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 </w:t>
      </w:r>
    </w:p>
    <w:p w:rsidR="00BB432E" w:rsidRDefault="00BB432E" w:rsidP="00BB432E">
      <w:pPr>
        <w:pStyle w:val="NormalnyWeb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obowiązkowy;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Kierunek: </w:t>
      </w:r>
      <w:r>
        <w:rPr>
          <w:rFonts w:ascii="Arial" w:hAnsi="Arial" w:cs="Arial"/>
          <w:color w:val="222222"/>
          <w:sz w:val="18"/>
          <w:szCs w:val="18"/>
        </w:rPr>
        <w:t xml:space="preserve">Weterynaria;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Studia: </w:t>
      </w:r>
      <w:r>
        <w:rPr>
          <w:rFonts w:ascii="Arial" w:hAnsi="Arial" w:cs="Arial"/>
          <w:color w:val="222222"/>
          <w:sz w:val="18"/>
          <w:szCs w:val="18"/>
        </w:rPr>
        <w:t xml:space="preserve">stacjonarne;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Poziom studiów: </w:t>
      </w:r>
      <w:r>
        <w:rPr>
          <w:rFonts w:ascii="Arial" w:hAnsi="Arial" w:cs="Arial"/>
          <w:color w:val="222222"/>
          <w:sz w:val="18"/>
          <w:szCs w:val="18"/>
        </w:rPr>
        <w:t xml:space="preserve">I ; II stopnia;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>rok/semestr:</w:t>
      </w:r>
      <w:r>
        <w:rPr>
          <w:rFonts w:ascii="Arial" w:hAnsi="Arial" w:cs="Arial"/>
          <w:color w:val="222222"/>
          <w:sz w:val="18"/>
          <w:szCs w:val="18"/>
        </w:rPr>
        <w:t xml:space="preserve"> II/ 1;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Rodzaj zajęć: </w:t>
      </w:r>
      <w:r>
        <w:rPr>
          <w:rFonts w:ascii="Arial" w:hAnsi="Arial" w:cs="Arial"/>
          <w:color w:val="222222"/>
          <w:sz w:val="18"/>
          <w:szCs w:val="18"/>
        </w:rPr>
        <w:t xml:space="preserve">wykłady i ćwiczenia;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>Liczba godzin w semestrze/tygodniu:</w:t>
      </w:r>
      <w:r>
        <w:rPr>
          <w:rFonts w:ascii="Arial" w:hAnsi="Arial" w:cs="Arial"/>
          <w:color w:val="222222"/>
          <w:sz w:val="18"/>
          <w:szCs w:val="18"/>
        </w:rPr>
        <w:t xml:space="preserve"> wykłady: 15/2 ćwiczenia: 15/1;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>Metody dydaktyczne:</w:t>
      </w:r>
      <w:r>
        <w:rPr>
          <w:rFonts w:ascii="Arial" w:hAnsi="Arial" w:cs="Arial"/>
          <w:color w:val="222222"/>
          <w:sz w:val="18"/>
          <w:szCs w:val="18"/>
        </w:rPr>
        <w:t xml:space="preserve"> wykłady: wykład – prezentacje </w:t>
      </w:r>
      <w:r>
        <w:rPr>
          <w:rFonts w:ascii="Arial" w:hAnsi="Arial" w:cs="Arial"/>
          <w:color w:val="222222"/>
          <w:sz w:val="18"/>
          <w:szCs w:val="18"/>
        </w:rPr>
        <w:t>multimedialne</w:t>
      </w:r>
      <w:r>
        <w:rPr>
          <w:rFonts w:ascii="Arial" w:hAnsi="Arial" w:cs="Arial"/>
          <w:color w:val="222222"/>
          <w:sz w:val="18"/>
          <w:szCs w:val="18"/>
        </w:rPr>
        <w:t xml:space="preserve"> ćwiczenia: ćwiczenia laboratoryjne, produkcyjne seminarium;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>Forma/warunki zaliczenia:</w:t>
      </w:r>
      <w:r>
        <w:rPr>
          <w:rFonts w:ascii="Arial" w:hAnsi="Arial" w:cs="Arial"/>
          <w:color w:val="222222"/>
          <w:sz w:val="18"/>
          <w:szCs w:val="18"/>
        </w:rPr>
        <w:t xml:space="preserve"> z</w:t>
      </w:r>
      <w:r>
        <w:rPr>
          <w:rFonts w:ascii="Arial" w:hAnsi="Arial" w:cs="Arial"/>
          <w:color w:val="222222"/>
          <w:sz w:val="18"/>
          <w:szCs w:val="18"/>
        </w:rPr>
        <w:t xml:space="preserve">aliczenie </w:t>
      </w:r>
      <w:r>
        <w:rPr>
          <w:rFonts w:ascii="Arial" w:hAnsi="Arial" w:cs="Arial"/>
          <w:color w:val="222222"/>
          <w:sz w:val="18"/>
          <w:szCs w:val="18"/>
        </w:rPr>
        <w:t>końcowe</w:t>
      </w:r>
      <w:r>
        <w:rPr>
          <w:rFonts w:ascii="Arial" w:hAnsi="Arial" w:cs="Arial"/>
          <w:color w:val="222222"/>
          <w:sz w:val="18"/>
          <w:szCs w:val="18"/>
        </w:rPr>
        <w:t xml:space="preserve"> na podstawie zaliczeń cząstkowych;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Język wykładowy: </w:t>
      </w:r>
      <w:r>
        <w:rPr>
          <w:rFonts w:ascii="Arial" w:hAnsi="Arial" w:cs="Arial"/>
          <w:color w:val="222222"/>
          <w:sz w:val="18"/>
          <w:szCs w:val="18"/>
        </w:rPr>
        <w:t xml:space="preserve">polski;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Przedmioty wprowadzające: </w:t>
      </w:r>
      <w:r>
        <w:rPr>
          <w:rFonts w:ascii="Arial" w:hAnsi="Arial" w:cs="Arial"/>
          <w:color w:val="222222"/>
          <w:sz w:val="18"/>
          <w:szCs w:val="18"/>
        </w:rPr>
        <w:t xml:space="preserve">Chów i hodowla zwierząt;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Wymagania wstępne: </w:t>
      </w:r>
      <w:r>
        <w:rPr>
          <w:rFonts w:ascii="Arial" w:hAnsi="Arial" w:cs="Arial"/>
          <w:color w:val="222222"/>
          <w:sz w:val="18"/>
          <w:szCs w:val="18"/>
        </w:rPr>
        <w:t xml:space="preserve">Znajomość </w:t>
      </w:r>
      <w:r>
        <w:rPr>
          <w:rFonts w:ascii="Arial" w:hAnsi="Arial" w:cs="Arial"/>
          <w:color w:val="222222"/>
          <w:sz w:val="18"/>
          <w:szCs w:val="18"/>
        </w:rPr>
        <w:t>gatunków</w:t>
      </w:r>
      <w:r>
        <w:rPr>
          <w:rFonts w:ascii="Arial" w:hAnsi="Arial" w:cs="Arial"/>
          <w:color w:val="222222"/>
          <w:sz w:val="18"/>
          <w:szCs w:val="18"/>
        </w:rPr>
        <w:t xml:space="preserve"> i ras zwierząt </w:t>
      </w:r>
      <w:r>
        <w:rPr>
          <w:rFonts w:ascii="Arial" w:hAnsi="Arial" w:cs="Arial"/>
          <w:color w:val="222222"/>
          <w:sz w:val="18"/>
          <w:szCs w:val="18"/>
        </w:rPr>
        <w:t>gospodarskich</w:t>
      </w:r>
      <w:r>
        <w:rPr>
          <w:rFonts w:ascii="Arial" w:hAnsi="Arial" w:cs="Arial"/>
          <w:color w:val="222222"/>
          <w:sz w:val="18"/>
          <w:szCs w:val="18"/>
        </w:rPr>
        <w:t xml:space="preserve"> oraz zasad chowu i hodowli;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Osoby odpowiedzialne za realizację przedmiotu: </w:t>
      </w:r>
      <w:r>
        <w:rPr>
          <w:rFonts w:ascii="Arial" w:hAnsi="Arial" w:cs="Arial"/>
          <w:color w:val="222222"/>
          <w:sz w:val="18"/>
          <w:szCs w:val="18"/>
        </w:rPr>
        <w:t xml:space="preserve">dr hab. Tadeusz Bakuła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e-mail: </w:t>
      </w:r>
      <w:hyperlink r:id="rId5" w:history="1">
        <w:r>
          <w:rPr>
            <w:rStyle w:val="Hipercze"/>
            <w:rFonts w:ascii="Arial" w:hAnsi="Arial" w:cs="Arial"/>
            <w:sz w:val="18"/>
            <w:szCs w:val="18"/>
          </w:rPr>
          <w:t>bakta@uwm.edu.pl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;prof. dr hab. Andrzej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Koncicki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e-mail: </w:t>
      </w:r>
      <w:hyperlink r:id="rId6" w:history="1">
        <w:r>
          <w:rPr>
            <w:rStyle w:val="Hipercze"/>
            <w:rFonts w:ascii="Arial" w:hAnsi="Arial" w:cs="Arial"/>
            <w:sz w:val="18"/>
            <w:szCs w:val="18"/>
          </w:rPr>
          <w:t>koncicki@uwm.edu.pl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Fonts w:ascii="Arial" w:hAnsi="Arial" w:cs="Arial"/>
          <w:color w:val="222222"/>
          <w:sz w:val="18"/>
          <w:szCs w:val="18"/>
        </w:rPr>
        <w:t xml:space="preserve">dr n. wet. Wojciech Barański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e-mail: 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wojbar@uwm.edu.pl</w:t>
        </w:r>
      </w:hyperlink>
    </w:p>
    <w:p w:rsidR="000B1789" w:rsidRDefault="000B1789"/>
    <w:sectPr w:rsidR="000B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2E"/>
    <w:rsid w:val="000B1789"/>
    <w:rsid w:val="00B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32E"/>
    <w:rPr>
      <w:b/>
      <w:bCs/>
    </w:rPr>
  </w:style>
  <w:style w:type="paragraph" w:customStyle="1" w:styleId="sdfootnote-western">
    <w:name w:val="sdfootnote-western"/>
    <w:basedOn w:val="Normalny"/>
    <w:rsid w:val="00BB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4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32E"/>
    <w:rPr>
      <w:b/>
      <w:bCs/>
    </w:rPr>
  </w:style>
  <w:style w:type="paragraph" w:customStyle="1" w:styleId="sdfootnote-western">
    <w:name w:val="sdfootnote-western"/>
    <w:basedOn w:val="Normalny"/>
    <w:rsid w:val="00BB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4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jbar@uwm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cicki@uwm.edu.pl" TargetMode="External"/><Relationship Id="rId5" Type="http://schemas.openxmlformats.org/officeDocument/2006/relationships/hyperlink" Target="mailto:bakta@uwm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PC-22</cp:lastModifiedBy>
  <cp:revision>1</cp:revision>
  <dcterms:created xsi:type="dcterms:W3CDTF">2012-01-19T08:58:00Z</dcterms:created>
  <dcterms:modified xsi:type="dcterms:W3CDTF">2012-01-19T09:01:00Z</dcterms:modified>
</cp:coreProperties>
</file>